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9F2AE" w14:textId="1FFE6042" w:rsidR="00D21A2D" w:rsidRPr="00011D66" w:rsidRDefault="00D21A2D" w:rsidP="00011D66">
      <w:pPr>
        <w:tabs>
          <w:tab w:val="num" w:pos="720"/>
        </w:tabs>
        <w:ind w:left="720" w:hanging="360"/>
        <w:jc w:val="center"/>
        <w:rPr>
          <w:rFonts w:ascii="Calibri" w:hAnsi="Calibri" w:cs="Calibri"/>
          <w:b/>
          <w:bCs/>
          <w:sz w:val="32"/>
          <w:szCs w:val="32"/>
          <w:u w:val="single"/>
        </w:rPr>
      </w:pPr>
      <w:bookmarkStart w:id="0" w:name="_GoBack"/>
      <w:bookmarkEnd w:id="0"/>
      <w:r w:rsidRPr="00011D66">
        <w:rPr>
          <w:rFonts w:ascii="Calibri" w:hAnsi="Calibri" w:cs="Calibri"/>
          <w:b/>
          <w:bCs/>
          <w:sz w:val="32"/>
          <w:szCs w:val="32"/>
          <w:u w:val="single"/>
        </w:rPr>
        <w:t>Permit Required Confined Spaces in Construction Webinar Questions, July 15, 2020</w:t>
      </w:r>
      <w:r w:rsidR="006E359D">
        <w:rPr>
          <w:rFonts w:ascii="Calibri" w:hAnsi="Calibri" w:cs="Calibri"/>
          <w:b/>
          <w:bCs/>
          <w:sz w:val="32"/>
          <w:szCs w:val="32"/>
          <w:u w:val="single"/>
        </w:rPr>
        <w:t xml:space="preserve"> (revised)</w:t>
      </w:r>
    </w:p>
    <w:p w14:paraId="515D5699" w14:textId="77777777" w:rsidR="00D21A2D" w:rsidRPr="00D21A2D" w:rsidRDefault="00D21A2D" w:rsidP="00D21A2D">
      <w:pPr>
        <w:pStyle w:val="ListParagraph"/>
        <w:rPr>
          <w:sz w:val="28"/>
          <w:szCs w:val="28"/>
        </w:rPr>
      </w:pPr>
    </w:p>
    <w:p w14:paraId="3F5AE4A4" w14:textId="77777777" w:rsidR="00D21A2D" w:rsidRPr="006E359D" w:rsidRDefault="00D21A2D" w:rsidP="006E359D">
      <w:pPr>
        <w:pStyle w:val="ListParagraph"/>
        <w:ind w:left="0"/>
      </w:pPr>
    </w:p>
    <w:p w14:paraId="5BAFEEF3" w14:textId="77777777" w:rsidR="00D21A2D" w:rsidRPr="006E359D" w:rsidRDefault="00D21A2D" w:rsidP="006E359D">
      <w:pPr>
        <w:pStyle w:val="ListParagraph"/>
        <w:numPr>
          <w:ilvl w:val="0"/>
          <w:numId w:val="2"/>
        </w:numPr>
        <w:ind w:left="0"/>
        <w:rPr>
          <w:rFonts w:asciiTheme="minorHAnsi" w:hAnsiTheme="minorHAnsi" w:cstheme="minorHAnsi"/>
        </w:rPr>
      </w:pPr>
      <w:r w:rsidRPr="006E359D">
        <w:rPr>
          <w:rFonts w:asciiTheme="minorHAnsi" w:eastAsiaTheme="minorEastAsia" w:hAnsiTheme="minorHAnsi" w:cstheme="minorHAnsi"/>
          <w:color w:val="000000" w:themeColor="text1"/>
          <w:kern w:val="24"/>
        </w:rPr>
        <w:t>Link to the video from Key Largo confined space incident</w:t>
      </w:r>
    </w:p>
    <w:p w14:paraId="076ED9E4" w14:textId="77777777" w:rsidR="00D21A2D" w:rsidRPr="006E359D" w:rsidRDefault="00995D95" w:rsidP="006E359D">
      <w:pPr>
        <w:pStyle w:val="ListParagraph"/>
        <w:ind w:left="0"/>
        <w:rPr>
          <w:rFonts w:asciiTheme="minorHAnsi" w:eastAsiaTheme="minorEastAsia" w:hAnsiTheme="minorHAnsi" w:cstheme="minorHAnsi"/>
          <w:color w:val="000000" w:themeColor="text1"/>
          <w:kern w:val="24"/>
        </w:rPr>
      </w:pPr>
      <w:hyperlink r:id="rId8" w:history="1">
        <w:r w:rsidR="00D21A2D" w:rsidRPr="006E359D">
          <w:rPr>
            <w:rStyle w:val="Hyperlink"/>
            <w:rFonts w:asciiTheme="minorHAnsi" w:eastAsiaTheme="minorEastAsia" w:hAnsiTheme="minorHAnsi" w:cstheme="minorHAnsi"/>
            <w:kern w:val="24"/>
          </w:rPr>
          <w:t>https://www.youtube.com/watch?v=vG6K-NulTok</w:t>
        </w:r>
      </w:hyperlink>
    </w:p>
    <w:p w14:paraId="42A9ABBC" w14:textId="77777777" w:rsidR="00D21A2D" w:rsidRPr="006E359D" w:rsidRDefault="00D21A2D" w:rsidP="006E359D">
      <w:pPr>
        <w:pStyle w:val="ListParagraph"/>
        <w:ind w:left="0"/>
        <w:rPr>
          <w:rFonts w:asciiTheme="minorHAnsi" w:eastAsiaTheme="minorEastAsia" w:hAnsiTheme="minorHAnsi" w:cstheme="minorHAnsi"/>
          <w:color w:val="000000" w:themeColor="text1"/>
          <w:kern w:val="24"/>
        </w:rPr>
      </w:pPr>
    </w:p>
    <w:p w14:paraId="614A8C64" w14:textId="2867F52F" w:rsidR="00D21A2D" w:rsidRPr="006E359D" w:rsidRDefault="00D21A2D" w:rsidP="006E359D">
      <w:pPr>
        <w:pStyle w:val="ListParagraph"/>
        <w:ind w:left="0"/>
        <w:rPr>
          <w:rFonts w:asciiTheme="minorHAnsi" w:hAnsiTheme="minorHAnsi" w:cstheme="minorHAnsi"/>
        </w:rPr>
      </w:pPr>
    </w:p>
    <w:p w14:paraId="76ACCF3B" w14:textId="12E8B02E" w:rsidR="00D21A2D" w:rsidRPr="006E359D" w:rsidRDefault="00D21A2D" w:rsidP="006E359D">
      <w:pPr>
        <w:pStyle w:val="ListParagraph"/>
        <w:numPr>
          <w:ilvl w:val="0"/>
          <w:numId w:val="2"/>
        </w:numPr>
        <w:ind w:left="0"/>
        <w:rPr>
          <w:rFonts w:asciiTheme="minorHAnsi" w:hAnsiTheme="minorHAnsi" w:cstheme="minorHAnsi"/>
        </w:rPr>
      </w:pPr>
      <w:r w:rsidRPr="006E359D">
        <w:rPr>
          <w:rFonts w:asciiTheme="minorHAnsi" w:hAnsiTheme="minorHAnsi" w:cstheme="minorHAnsi"/>
        </w:rPr>
        <w:t xml:space="preserve">Question on what is meant by a “space </w:t>
      </w:r>
      <w:r w:rsidR="00FD091D" w:rsidRPr="006E359D">
        <w:rPr>
          <w:rFonts w:asciiTheme="minorHAnsi" w:hAnsiTheme="minorHAnsi" w:cstheme="minorHAnsi"/>
        </w:rPr>
        <w:t xml:space="preserve">not </w:t>
      </w:r>
      <w:r w:rsidRPr="006E359D">
        <w:rPr>
          <w:rFonts w:asciiTheme="minorHAnsi" w:hAnsiTheme="minorHAnsi" w:cstheme="minorHAnsi"/>
        </w:rPr>
        <w:t>designed for continuous occupancy”.</w:t>
      </w:r>
      <w:r w:rsidR="000C307F" w:rsidRPr="006E359D">
        <w:rPr>
          <w:rFonts w:asciiTheme="minorHAnsi" w:hAnsiTheme="minorHAnsi" w:cstheme="minorHAnsi"/>
        </w:rPr>
        <w:t xml:space="preserve"> </w:t>
      </w:r>
      <w:r w:rsidR="00FD091D" w:rsidRPr="006E359D">
        <w:rPr>
          <w:rFonts w:asciiTheme="minorHAnsi" w:hAnsiTheme="minorHAnsi" w:cstheme="minorHAnsi"/>
        </w:rPr>
        <w:t xml:space="preserve">OSHA references a letter of intent and comments </w:t>
      </w:r>
      <w:r w:rsidR="00011D66" w:rsidRPr="006E359D">
        <w:rPr>
          <w:rFonts w:asciiTheme="minorHAnsi" w:hAnsiTheme="minorHAnsi" w:cstheme="minorHAnsi"/>
        </w:rPr>
        <w:t>from</w:t>
      </w:r>
      <w:r w:rsidR="00FD091D" w:rsidRPr="006E359D">
        <w:rPr>
          <w:rFonts w:asciiTheme="minorHAnsi" w:hAnsiTheme="minorHAnsi" w:cstheme="minorHAnsi"/>
        </w:rPr>
        <w:t xml:space="preserve"> the Federal Register in which the general industry standard was first published to describe what they mean by a “space not defined for continuous human occupancy”</w:t>
      </w:r>
      <w:r w:rsidR="003D2DD2" w:rsidRPr="006E359D">
        <w:rPr>
          <w:rFonts w:asciiTheme="minorHAnsi" w:hAnsiTheme="minorHAnsi" w:cstheme="minorHAnsi"/>
        </w:rPr>
        <w:t xml:space="preserve">.  In the letter of intent that follows, they </w:t>
      </w:r>
      <w:r w:rsidR="00011D66" w:rsidRPr="006E359D">
        <w:rPr>
          <w:rFonts w:asciiTheme="minorHAnsi" w:hAnsiTheme="minorHAnsi" w:cstheme="minorHAnsi"/>
        </w:rPr>
        <w:t>state -</w:t>
      </w:r>
      <w:r w:rsidR="003D2DD2" w:rsidRPr="006E359D">
        <w:rPr>
          <w:rFonts w:asciiTheme="minorHAnsi" w:hAnsiTheme="minorHAnsi" w:cstheme="minorHAnsi"/>
          <w:i/>
          <w:iCs/>
        </w:rPr>
        <w:t xml:space="preserve"> </w:t>
      </w:r>
      <w:r w:rsidR="003D2DD2" w:rsidRPr="006E359D">
        <w:rPr>
          <w:rFonts w:asciiTheme="minorHAnsi" w:hAnsiTheme="minorHAnsi" w:cstheme="minorHAnsi"/>
          <w:i/>
          <w:iCs/>
          <w:color w:val="333333"/>
          <w:shd w:val="clear" w:color="auto" w:fill="FFFFFF"/>
        </w:rPr>
        <w:t xml:space="preserve"> work areas covered by this standard are unsuitable, by nature for continuous employee occupancy, because those spaces were created to contain such things as degreasers, sawdust, and sewage, not to accommodate people</w:t>
      </w:r>
      <w:r w:rsidR="003D2DD2" w:rsidRPr="006E359D">
        <w:rPr>
          <w:rFonts w:asciiTheme="minorHAnsi" w:hAnsiTheme="minorHAnsi" w:cstheme="minorHAnsi"/>
        </w:rPr>
        <w:t xml:space="preserve">. </w:t>
      </w:r>
      <w:hyperlink r:id="rId9" w:history="1">
        <w:r w:rsidR="003D2DD2" w:rsidRPr="006E359D">
          <w:rPr>
            <w:rStyle w:val="Hyperlink"/>
            <w:rFonts w:asciiTheme="minorHAnsi" w:hAnsiTheme="minorHAnsi" w:cstheme="minorHAnsi"/>
          </w:rPr>
          <w:t>https://www.osha.gov/laws-regs/standardinterpretations/1995-06-22</w:t>
        </w:r>
      </w:hyperlink>
    </w:p>
    <w:p w14:paraId="03BB8A5D" w14:textId="5A14197C" w:rsidR="006E359D" w:rsidRPr="006E359D" w:rsidRDefault="006E359D" w:rsidP="006E359D">
      <w:pPr>
        <w:rPr>
          <w:rFonts w:cstheme="minorHAnsi"/>
          <w:sz w:val="24"/>
          <w:szCs w:val="24"/>
        </w:rPr>
      </w:pPr>
    </w:p>
    <w:p w14:paraId="5022A00F" w14:textId="1486ACCB" w:rsidR="006E359D" w:rsidRPr="006E359D" w:rsidRDefault="006E359D" w:rsidP="006E359D">
      <w:pPr>
        <w:rPr>
          <w:rFonts w:cstheme="minorHAnsi"/>
          <w:sz w:val="24"/>
          <w:szCs w:val="24"/>
        </w:rPr>
      </w:pPr>
      <w:r w:rsidRPr="006E359D">
        <w:rPr>
          <w:sz w:val="24"/>
          <w:szCs w:val="24"/>
        </w:rPr>
        <w:t xml:space="preserve">In addition, p. 25380-25381 in </w:t>
      </w:r>
      <w:r w:rsidR="00D35ECA">
        <w:rPr>
          <w:sz w:val="24"/>
          <w:szCs w:val="24"/>
        </w:rPr>
        <w:t xml:space="preserve">the </w:t>
      </w:r>
      <w:r w:rsidRPr="006E359D">
        <w:rPr>
          <w:sz w:val="24"/>
          <w:szCs w:val="24"/>
        </w:rPr>
        <w:t>Federal Register/Vol 80. No. 85, May 4, 2015</w:t>
      </w:r>
      <w:r w:rsidR="00D35ECA">
        <w:rPr>
          <w:sz w:val="24"/>
          <w:szCs w:val="24"/>
        </w:rPr>
        <w:t xml:space="preserve"> (in which the construction confined space standard was published (</w:t>
      </w:r>
      <w:hyperlink r:id="rId10" w:history="1">
        <w:r w:rsidR="00D35ECA" w:rsidRPr="00BC2D23">
          <w:rPr>
            <w:rStyle w:val="Hyperlink"/>
            <w:sz w:val="24"/>
            <w:szCs w:val="24"/>
          </w:rPr>
          <w:t>https://www.osha.gov/laws-regs/federalregister/2015-05-04</w:t>
        </w:r>
      </w:hyperlink>
      <w:r w:rsidR="00D35ECA">
        <w:rPr>
          <w:sz w:val="24"/>
          <w:szCs w:val="24"/>
        </w:rPr>
        <w:t>),</w:t>
      </w:r>
      <w:r w:rsidRPr="006E359D">
        <w:rPr>
          <w:sz w:val="24"/>
          <w:szCs w:val="24"/>
        </w:rPr>
        <w:t xml:space="preserve"> OSHA responds to a commentator who was confused by the definition “not designed for continuous occupancy”.  Here they state that the intent is to capture all spaces “where conditions are such that employees would normally exit the space relatively soon after entering, absent the construction activity”.   They go on to reference several letters of interpretations that reference the design or function of the space.    </w:t>
      </w:r>
    </w:p>
    <w:p w14:paraId="106CE6C6" w14:textId="58A1DF24" w:rsidR="00011D66" w:rsidRPr="006E359D" w:rsidRDefault="0067466A" w:rsidP="006E359D">
      <w:pPr>
        <w:pStyle w:val="active"/>
        <w:numPr>
          <w:ilvl w:val="0"/>
          <w:numId w:val="2"/>
        </w:numPr>
        <w:shd w:val="clear" w:color="auto" w:fill="FFFFFF"/>
        <w:ind w:left="0"/>
        <w:rPr>
          <w:rFonts w:asciiTheme="minorHAnsi" w:hAnsiTheme="minorHAnsi" w:cstheme="minorHAnsi"/>
          <w:color w:val="666666"/>
        </w:rPr>
      </w:pPr>
      <w:r w:rsidRPr="006E359D">
        <w:rPr>
          <w:rFonts w:asciiTheme="minorHAnsi" w:hAnsiTheme="minorHAnsi" w:cstheme="minorHAnsi"/>
          <w:color w:val="666666"/>
        </w:rPr>
        <w:t xml:space="preserve">A </w:t>
      </w:r>
      <w:r w:rsidR="00DE6005" w:rsidRPr="006E359D">
        <w:rPr>
          <w:rFonts w:asciiTheme="minorHAnsi" w:hAnsiTheme="minorHAnsi" w:cstheme="minorHAnsi"/>
          <w:color w:val="666666"/>
        </w:rPr>
        <w:t xml:space="preserve">question was raised </w:t>
      </w:r>
      <w:r w:rsidRPr="006E359D">
        <w:rPr>
          <w:rFonts w:asciiTheme="minorHAnsi" w:hAnsiTheme="minorHAnsi" w:cstheme="minorHAnsi"/>
          <w:color w:val="666666"/>
        </w:rPr>
        <w:t xml:space="preserve">during our webinar </w:t>
      </w:r>
      <w:r w:rsidR="00DE6005" w:rsidRPr="006E359D">
        <w:rPr>
          <w:rFonts w:asciiTheme="minorHAnsi" w:hAnsiTheme="minorHAnsi" w:cstheme="minorHAnsi"/>
          <w:color w:val="666666"/>
        </w:rPr>
        <w:t xml:space="preserve">about air monitoring to declassify a permit space to a non-permit space </w:t>
      </w:r>
      <w:r w:rsidR="003D2DD2" w:rsidRPr="006E359D">
        <w:rPr>
          <w:rFonts w:asciiTheme="minorHAnsi" w:hAnsiTheme="minorHAnsi" w:cstheme="minorHAnsi"/>
          <w:color w:val="666666"/>
        </w:rPr>
        <w:t>for “</w:t>
      </w:r>
      <w:r w:rsidR="00632907" w:rsidRPr="006E359D">
        <w:rPr>
          <w:rFonts w:asciiTheme="minorHAnsi" w:hAnsiTheme="minorHAnsi" w:cstheme="minorHAnsi"/>
          <w:color w:val="666666"/>
        </w:rPr>
        <w:t>potential atmospheric hazard</w:t>
      </w:r>
      <w:r w:rsidR="00DE6005" w:rsidRPr="006E359D">
        <w:rPr>
          <w:rFonts w:asciiTheme="minorHAnsi" w:hAnsiTheme="minorHAnsi" w:cstheme="minorHAnsi"/>
          <w:color w:val="666666"/>
        </w:rPr>
        <w:t>s</w:t>
      </w:r>
      <w:r w:rsidR="00632907" w:rsidRPr="006E359D">
        <w:rPr>
          <w:rFonts w:asciiTheme="minorHAnsi" w:hAnsiTheme="minorHAnsi" w:cstheme="minorHAnsi"/>
          <w:color w:val="666666"/>
        </w:rPr>
        <w:t xml:space="preserve">" </w:t>
      </w:r>
      <w:r w:rsidR="00DE6005" w:rsidRPr="006E359D">
        <w:rPr>
          <w:rFonts w:asciiTheme="minorHAnsi" w:hAnsiTheme="minorHAnsi" w:cstheme="minorHAnsi"/>
          <w:color w:val="666666"/>
        </w:rPr>
        <w:t xml:space="preserve">.  I replied that </w:t>
      </w:r>
      <w:r w:rsidR="00632907" w:rsidRPr="006E359D">
        <w:rPr>
          <w:rFonts w:asciiTheme="minorHAnsi" w:hAnsiTheme="minorHAnsi" w:cstheme="minorHAnsi"/>
          <w:color w:val="666666"/>
        </w:rPr>
        <w:t xml:space="preserve">reclassifying a PRCS </w:t>
      </w:r>
      <w:r w:rsidR="00DE6005" w:rsidRPr="006E359D">
        <w:rPr>
          <w:rFonts w:asciiTheme="minorHAnsi" w:hAnsiTheme="minorHAnsi" w:cstheme="minorHAnsi"/>
          <w:color w:val="666666"/>
        </w:rPr>
        <w:t xml:space="preserve">to </w:t>
      </w:r>
      <w:r w:rsidRPr="006E359D">
        <w:rPr>
          <w:rFonts w:asciiTheme="minorHAnsi" w:hAnsiTheme="minorHAnsi" w:cstheme="minorHAnsi"/>
          <w:color w:val="666666"/>
        </w:rPr>
        <w:t xml:space="preserve">a </w:t>
      </w:r>
      <w:r w:rsidR="00632907" w:rsidRPr="006E359D">
        <w:rPr>
          <w:rFonts w:asciiTheme="minorHAnsi" w:hAnsiTheme="minorHAnsi" w:cstheme="minorHAnsi"/>
          <w:color w:val="666666"/>
        </w:rPr>
        <w:t>non-permit required confined space</w:t>
      </w:r>
      <w:r w:rsidR="00DE6005" w:rsidRPr="006E359D">
        <w:rPr>
          <w:rFonts w:asciiTheme="minorHAnsi" w:hAnsiTheme="minorHAnsi" w:cstheme="minorHAnsi"/>
          <w:color w:val="666666"/>
        </w:rPr>
        <w:t xml:space="preserve"> was only used for physical hazards</w:t>
      </w:r>
      <w:r w:rsidR="00632907" w:rsidRPr="006E359D">
        <w:rPr>
          <w:rFonts w:asciiTheme="minorHAnsi" w:hAnsiTheme="minorHAnsi" w:cstheme="minorHAnsi"/>
          <w:color w:val="666666"/>
        </w:rPr>
        <w:t>.</w:t>
      </w:r>
      <w:r w:rsidR="00DE6005" w:rsidRPr="006E359D">
        <w:rPr>
          <w:rFonts w:asciiTheme="minorHAnsi" w:hAnsiTheme="minorHAnsi" w:cstheme="minorHAnsi"/>
          <w:color w:val="666666"/>
        </w:rPr>
        <w:t xml:space="preserve">  </w:t>
      </w:r>
      <w:r w:rsidR="00011D66" w:rsidRPr="006E359D">
        <w:rPr>
          <w:rFonts w:asciiTheme="minorHAnsi" w:hAnsiTheme="minorHAnsi" w:cstheme="minorHAnsi"/>
          <w:color w:val="666666"/>
        </w:rPr>
        <w:t>Alternate entry procedures may be used for atmospheric hazards, but monitoring must always be conducted in that case.</w:t>
      </w:r>
    </w:p>
    <w:p w14:paraId="26D427A3" w14:textId="73ACC9B2" w:rsidR="00D21A2D" w:rsidRDefault="00DE6005" w:rsidP="006E359D">
      <w:pPr>
        <w:pStyle w:val="active"/>
        <w:shd w:val="clear" w:color="auto" w:fill="FFFFFF"/>
        <w:rPr>
          <w:rFonts w:asciiTheme="minorHAnsi" w:eastAsiaTheme="minorEastAsia" w:hAnsi="Constantia" w:cstheme="minorBidi"/>
          <w:color w:val="000000" w:themeColor="text1"/>
          <w:kern w:val="24"/>
          <w:sz w:val="28"/>
          <w:szCs w:val="28"/>
        </w:rPr>
      </w:pPr>
      <w:r w:rsidRPr="006E359D">
        <w:rPr>
          <w:rFonts w:asciiTheme="minorHAnsi" w:hAnsiTheme="minorHAnsi" w:cstheme="minorHAnsi"/>
          <w:color w:val="666666"/>
        </w:rPr>
        <w:t>There is</w:t>
      </w:r>
      <w:r w:rsidR="003D2DD2" w:rsidRPr="006E359D">
        <w:rPr>
          <w:rFonts w:asciiTheme="minorHAnsi" w:hAnsiTheme="minorHAnsi" w:cstheme="minorHAnsi"/>
          <w:color w:val="666666"/>
        </w:rPr>
        <w:t>, however,</w:t>
      </w:r>
      <w:r w:rsidRPr="006E359D">
        <w:rPr>
          <w:rFonts w:asciiTheme="minorHAnsi" w:hAnsiTheme="minorHAnsi" w:cstheme="minorHAnsi"/>
          <w:color w:val="666666"/>
        </w:rPr>
        <w:t xml:space="preserve"> a letter of interpretation that addresses a situation where there had been some historical records showing ambiguous air monitoring results </w:t>
      </w:r>
      <w:r w:rsidR="0067466A" w:rsidRPr="006E359D">
        <w:rPr>
          <w:rFonts w:asciiTheme="minorHAnsi" w:hAnsiTheme="minorHAnsi" w:cstheme="minorHAnsi"/>
          <w:color w:val="666666"/>
        </w:rPr>
        <w:t>that raised question</w:t>
      </w:r>
      <w:r w:rsidR="003D2DD2" w:rsidRPr="006E359D">
        <w:rPr>
          <w:rFonts w:asciiTheme="minorHAnsi" w:hAnsiTheme="minorHAnsi" w:cstheme="minorHAnsi"/>
          <w:color w:val="666666"/>
        </w:rPr>
        <w:t>s</w:t>
      </w:r>
      <w:r w:rsidR="0067466A" w:rsidRPr="006E359D">
        <w:rPr>
          <w:rFonts w:asciiTheme="minorHAnsi" w:hAnsiTheme="minorHAnsi" w:cstheme="minorHAnsi"/>
          <w:color w:val="666666"/>
        </w:rPr>
        <w:t xml:space="preserve"> in the employer’s mind about atmospheric hazards even though they stated the only hazard was of a physical nature.  OSHA responds to a series of questions related to their concerns in the following letter of interpretation.  OSHA </w:t>
      </w:r>
      <w:r w:rsidR="00011D66" w:rsidRPr="006E359D">
        <w:rPr>
          <w:rFonts w:asciiTheme="minorHAnsi" w:hAnsiTheme="minorHAnsi" w:cstheme="minorHAnsi"/>
          <w:color w:val="666666"/>
        </w:rPr>
        <w:t>begins by</w:t>
      </w:r>
      <w:r w:rsidR="0067466A" w:rsidRPr="006E359D">
        <w:rPr>
          <w:rFonts w:asciiTheme="minorHAnsi" w:hAnsiTheme="minorHAnsi" w:cstheme="minorHAnsi"/>
          <w:color w:val="666666"/>
        </w:rPr>
        <w:t xml:space="preserve"> asking them why they are doing air monitoring if the only potential hazard is a physical hazard.  </w:t>
      </w:r>
      <w:r w:rsidRPr="006E359D">
        <w:rPr>
          <w:rFonts w:asciiTheme="minorHAnsi" w:hAnsiTheme="minorHAnsi" w:cstheme="minorHAnsi"/>
          <w:color w:val="666666"/>
        </w:rPr>
        <w:t xml:space="preserve"> </w:t>
      </w:r>
      <w:hyperlink r:id="rId11" w:history="1">
        <w:r w:rsidRPr="006E359D">
          <w:rPr>
            <w:rStyle w:val="Hyperlink"/>
            <w:rFonts w:asciiTheme="minorHAnsi" w:hAnsiTheme="minorHAnsi" w:cstheme="minorHAnsi"/>
          </w:rPr>
          <w:t>https://www.osha.gov/laws-regs/standardinterpretations/2005-12-02</w:t>
        </w:r>
      </w:hyperlink>
    </w:p>
    <w:sectPr w:rsidR="00D21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FFE"/>
    <w:multiLevelType w:val="hybridMultilevel"/>
    <w:tmpl w:val="5338F488"/>
    <w:lvl w:ilvl="0" w:tplc="96A609B8">
      <w:start w:val="1"/>
      <w:numFmt w:val="bullet"/>
      <w:lvlText w:val="•"/>
      <w:lvlJc w:val="left"/>
      <w:pPr>
        <w:tabs>
          <w:tab w:val="num" w:pos="720"/>
        </w:tabs>
        <w:ind w:left="720" w:hanging="360"/>
      </w:pPr>
      <w:rPr>
        <w:rFonts w:ascii="Arial" w:hAnsi="Arial" w:hint="default"/>
      </w:rPr>
    </w:lvl>
    <w:lvl w:ilvl="1" w:tplc="2BACBA26" w:tentative="1">
      <w:start w:val="1"/>
      <w:numFmt w:val="bullet"/>
      <w:lvlText w:val="•"/>
      <w:lvlJc w:val="left"/>
      <w:pPr>
        <w:tabs>
          <w:tab w:val="num" w:pos="1440"/>
        </w:tabs>
        <w:ind w:left="1440" w:hanging="360"/>
      </w:pPr>
      <w:rPr>
        <w:rFonts w:ascii="Arial" w:hAnsi="Arial" w:hint="default"/>
      </w:rPr>
    </w:lvl>
    <w:lvl w:ilvl="2" w:tplc="D1369ED8" w:tentative="1">
      <w:start w:val="1"/>
      <w:numFmt w:val="bullet"/>
      <w:lvlText w:val="•"/>
      <w:lvlJc w:val="left"/>
      <w:pPr>
        <w:tabs>
          <w:tab w:val="num" w:pos="2160"/>
        </w:tabs>
        <w:ind w:left="2160" w:hanging="360"/>
      </w:pPr>
      <w:rPr>
        <w:rFonts w:ascii="Arial" w:hAnsi="Arial" w:hint="default"/>
      </w:rPr>
    </w:lvl>
    <w:lvl w:ilvl="3" w:tplc="332C7A2E" w:tentative="1">
      <w:start w:val="1"/>
      <w:numFmt w:val="bullet"/>
      <w:lvlText w:val="•"/>
      <w:lvlJc w:val="left"/>
      <w:pPr>
        <w:tabs>
          <w:tab w:val="num" w:pos="2880"/>
        </w:tabs>
        <w:ind w:left="2880" w:hanging="360"/>
      </w:pPr>
      <w:rPr>
        <w:rFonts w:ascii="Arial" w:hAnsi="Arial" w:hint="default"/>
      </w:rPr>
    </w:lvl>
    <w:lvl w:ilvl="4" w:tplc="BEB0E862" w:tentative="1">
      <w:start w:val="1"/>
      <w:numFmt w:val="bullet"/>
      <w:lvlText w:val="•"/>
      <w:lvlJc w:val="left"/>
      <w:pPr>
        <w:tabs>
          <w:tab w:val="num" w:pos="3600"/>
        </w:tabs>
        <w:ind w:left="3600" w:hanging="360"/>
      </w:pPr>
      <w:rPr>
        <w:rFonts w:ascii="Arial" w:hAnsi="Arial" w:hint="default"/>
      </w:rPr>
    </w:lvl>
    <w:lvl w:ilvl="5" w:tplc="9476EC16" w:tentative="1">
      <w:start w:val="1"/>
      <w:numFmt w:val="bullet"/>
      <w:lvlText w:val="•"/>
      <w:lvlJc w:val="left"/>
      <w:pPr>
        <w:tabs>
          <w:tab w:val="num" w:pos="4320"/>
        </w:tabs>
        <w:ind w:left="4320" w:hanging="360"/>
      </w:pPr>
      <w:rPr>
        <w:rFonts w:ascii="Arial" w:hAnsi="Arial" w:hint="default"/>
      </w:rPr>
    </w:lvl>
    <w:lvl w:ilvl="6" w:tplc="C17072A8" w:tentative="1">
      <w:start w:val="1"/>
      <w:numFmt w:val="bullet"/>
      <w:lvlText w:val="•"/>
      <w:lvlJc w:val="left"/>
      <w:pPr>
        <w:tabs>
          <w:tab w:val="num" w:pos="5040"/>
        </w:tabs>
        <w:ind w:left="5040" w:hanging="360"/>
      </w:pPr>
      <w:rPr>
        <w:rFonts w:ascii="Arial" w:hAnsi="Arial" w:hint="default"/>
      </w:rPr>
    </w:lvl>
    <w:lvl w:ilvl="7" w:tplc="34C60E1A" w:tentative="1">
      <w:start w:val="1"/>
      <w:numFmt w:val="bullet"/>
      <w:lvlText w:val="•"/>
      <w:lvlJc w:val="left"/>
      <w:pPr>
        <w:tabs>
          <w:tab w:val="num" w:pos="5760"/>
        </w:tabs>
        <w:ind w:left="5760" w:hanging="360"/>
      </w:pPr>
      <w:rPr>
        <w:rFonts w:ascii="Arial" w:hAnsi="Arial" w:hint="default"/>
      </w:rPr>
    </w:lvl>
    <w:lvl w:ilvl="8" w:tplc="5CB63B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C43B2E"/>
    <w:multiLevelType w:val="hybridMultilevel"/>
    <w:tmpl w:val="4B161F70"/>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A1B3DD6"/>
    <w:multiLevelType w:val="multilevel"/>
    <w:tmpl w:val="D0BC6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A2D"/>
    <w:rsid w:val="00011D66"/>
    <w:rsid w:val="000C307F"/>
    <w:rsid w:val="0021647C"/>
    <w:rsid w:val="003D2DD2"/>
    <w:rsid w:val="004026BB"/>
    <w:rsid w:val="004A652A"/>
    <w:rsid w:val="00632907"/>
    <w:rsid w:val="0067466A"/>
    <w:rsid w:val="006E359D"/>
    <w:rsid w:val="00762670"/>
    <w:rsid w:val="007F2339"/>
    <w:rsid w:val="00995D95"/>
    <w:rsid w:val="00D21A2D"/>
    <w:rsid w:val="00D35ECA"/>
    <w:rsid w:val="00DE6005"/>
    <w:rsid w:val="00FD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7465"/>
  <w15:chartTrackingRefBased/>
  <w15:docId w15:val="{41F369E6-7764-4D2F-A790-F93792BA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2D"/>
    <w:rPr>
      <w:color w:val="0000FF"/>
      <w:u w:val="single"/>
    </w:rPr>
  </w:style>
  <w:style w:type="paragraph" w:styleId="ListParagraph">
    <w:name w:val="List Paragraph"/>
    <w:basedOn w:val="Normal"/>
    <w:uiPriority w:val="34"/>
    <w:qFormat/>
    <w:rsid w:val="00D21A2D"/>
    <w:pPr>
      <w:spacing w:after="0" w:line="240" w:lineRule="auto"/>
      <w:ind w:left="720"/>
      <w:contextualSpacing/>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D21A2D"/>
    <w:rPr>
      <w:color w:val="605E5C"/>
      <w:shd w:val="clear" w:color="auto" w:fill="E1DFDD"/>
    </w:rPr>
  </w:style>
  <w:style w:type="paragraph" w:customStyle="1" w:styleId="active">
    <w:name w:val="active"/>
    <w:basedOn w:val="Normal"/>
    <w:rsid w:val="006329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291604">
      <w:bodyDiv w:val="1"/>
      <w:marLeft w:val="0"/>
      <w:marRight w:val="0"/>
      <w:marTop w:val="0"/>
      <w:marBottom w:val="0"/>
      <w:divBdr>
        <w:top w:val="none" w:sz="0" w:space="0" w:color="auto"/>
        <w:left w:val="none" w:sz="0" w:space="0" w:color="auto"/>
        <w:bottom w:val="none" w:sz="0" w:space="0" w:color="auto"/>
        <w:right w:val="none" w:sz="0" w:space="0" w:color="auto"/>
      </w:divBdr>
    </w:div>
    <w:div w:id="1035731741">
      <w:bodyDiv w:val="1"/>
      <w:marLeft w:val="0"/>
      <w:marRight w:val="0"/>
      <w:marTop w:val="0"/>
      <w:marBottom w:val="0"/>
      <w:divBdr>
        <w:top w:val="none" w:sz="0" w:space="0" w:color="auto"/>
        <w:left w:val="none" w:sz="0" w:space="0" w:color="auto"/>
        <w:bottom w:val="none" w:sz="0" w:space="0" w:color="auto"/>
        <w:right w:val="none" w:sz="0" w:space="0" w:color="auto"/>
      </w:divBdr>
      <w:divsChild>
        <w:div w:id="723673206">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G6K-NulTo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ha.gov/laws-regs/standardinterpretations/2005-12-02" TargetMode="External"/><Relationship Id="rId5" Type="http://schemas.openxmlformats.org/officeDocument/2006/relationships/styles" Target="styles.xml"/><Relationship Id="rId10" Type="http://schemas.openxmlformats.org/officeDocument/2006/relationships/hyperlink" Target="https://www.osha.gov/laws-regs/federalregister/2015-05-04" TargetMode="External"/><Relationship Id="rId4" Type="http://schemas.openxmlformats.org/officeDocument/2006/relationships/numbering" Target="numbering.xml"/><Relationship Id="rId9" Type="http://schemas.openxmlformats.org/officeDocument/2006/relationships/hyperlink" Target="https://www.osha.gov/laws-regs/standardinterpretations/1995-0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A94B4AE303654EA1B3ED0F5D3B74A7" ma:contentTypeVersion="11" ma:contentTypeDescription="Create a new document." ma:contentTypeScope="" ma:versionID="a48ae8a90c2b9ba14feb19007a7ca54a">
  <xsd:schema xmlns:xsd="http://www.w3.org/2001/XMLSchema" xmlns:xs="http://www.w3.org/2001/XMLSchema" xmlns:p="http://schemas.microsoft.com/office/2006/metadata/properties" xmlns:ns2="9084b878-4063-4063-a2f4-2dc7d8d331e1" xmlns:ns3="bbecfde1-29a9-4db9-bc32-245c12180cd2" targetNamespace="http://schemas.microsoft.com/office/2006/metadata/properties" ma:root="true" ma:fieldsID="edc4ed1806cc9068fbab9fc47bdbc61a" ns2:_="" ns3:_="">
    <xsd:import namespace="9084b878-4063-4063-a2f4-2dc7d8d331e1"/>
    <xsd:import namespace="bbecfde1-29a9-4db9-bc32-245c12180c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4b878-4063-4063-a2f4-2dc7d8d3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ecfde1-29a9-4db9-bc32-245c12180c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83457-EFEF-4C3C-BF98-F2A858A7A499}">
  <ds:schemaRefs>
    <ds:schemaRef ds:uri="http://purl.org/dc/terms/"/>
    <ds:schemaRef ds:uri="http://schemas.microsoft.com/office/2006/documentManagement/types"/>
    <ds:schemaRef ds:uri="http://schemas.microsoft.com/office/2006/metadata/properties"/>
    <ds:schemaRef ds:uri="http://purl.org/dc/dcmitype/"/>
    <ds:schemaRef ds:uri="8f96fc14-4bb7-461b-b8f4-5174a669bc0b"/>
    <ds:schemaRef ds:uri="http://schemas.microsoft.com/office/infopath/2007/PartnerControls"/>
    <ds:schemaRef ds:uri="http://purl.org/dc/elements/1.1/"/>
    <ds:schemaRef ds:uri="http://www.w3.org/XML/1998/namespace"/>
    <ds:schemaRef ds:uri="http://schemas.openxmlformats.org/package/2006/metadata/core-properties"/>
    <ds:schemaRef ds:uri="3870ece6-baab-44fb-953f-77fb9a8d79d5"/>
  </ds:schemaRefs>
</ds:datastoreItem>
</file>

<file path=customXml/itemProps2.xml><?xml version="1.0" encoding="utf-8"?>
<ds:datastoreItem xmlns:ds="http://schemas.openxmlformats.org/officeDocument/2006/customXml" ds:itemID="{A5DD8C15-9D43-43DD-9D0C-B0E3F6476631}">
  <ds:schemaRefs>
    <ds:schemaRef ds:uri="http://schemas.microsoft.com/sharepoint/v3/contenttype/forms"/>
  </ds:schemaRefs>
</ds:datastoreItem>
</file>

<file path=customXml/itemProps3.xml><?xml version="1.0" encoding="utf-8"?>
<ds:datastoreItem xmlns:ds="http://schemas.openxmlformats.org/officeDocument/2006/customXml" ds:itemID="{FEECBD4D-6C96-415E-B4D8-272F21C8D074}"/>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susi</dc:creator>
  <cp:keywords/>
  <dc:description/>
  <cp:lastModifiedBy>Tammy Harvey</cp:lastModifiedBy>
  <cp:revision>2</cp:revision>
  <cp:lastPrinted>2020-07-15T19:09:00Z</cp:lastPrinted>
  <dcterms:created xsi:type="dcterms:W3CDTF">2020-07-15T19:13:00Z</dcterms:created>
  <dcterms:modified xsi:type="dcterms:W3CDTF">2020-07-15T19:13:00Z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0x01010091A94B4AE303654EA1B3ED0F5D3B74A7</vt:lpwstr>
  </property>
</Properties>
</file>